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A960F1A">
      <w:pPr>
        <w:bidi w:val="0"/>
        <w:jc w:val="left"/>
        <w:rPr>
          <w:rFonts w:hint="eastAsia"/>
          <w:lang w:val="en-US" w:eastAsia="zh-CN"/>
        </w:rPr>
      </w:pPr>
      <w:bookmarkStart w:id="0" w:name="_GoBack"/>
      <w:bookmarkEnd w:id="0"/>
      <w:r>
        <w:rPr>
          <w:rFonts w:hint="eastAsia" w:ascii="黑体" w:hAnsi="黑体" w:eastAsia="黑体"/>
          <w:sz w:val="32"/>
          <w:szCs w:val="32"/>
          <w:lang w:val="en-US" w:eastAsia="zh-CN"/>
        </w:rPr>
        <w:t>附件2：</w:t>
      </w:r>
    </w:p>
    <w:p w14:paraId="16634E80">
      <w:pPr>
        <w:keepNext w:val="0"/>
        <w:keepLines w:val="0"/>
        <w:pageBreakBefore w:val="0"/>
        <w:widowControl/>
        <w:suppressLineNumbers w:val="0"/>
        <w:kinsoku/>
        <w:wordWrap/>
        <w:overflowPunct/>
        <w:topLinePunct w:val="0"/>
        <w:autoSpaceDE/>
        <w:autoSpaceDN/>
        <w:bidi w:val="0"/>
        <w:snapToGrid/>
        <w:spacing w:line="600" w:lineRule="exact"/>
        <w:jc w:val="center"/>
        <w:rPr>
          <w:rFonts w:hint="eastAsia" w:ascii="方正小标宋简体" w:hAnsi="方正小标宋简体" w:eastAsia="方正小标宋简体"/>
          <w:kern w:val="0"/>
          <w:sz w:val="44"/>
          <w:szCs w:val="44"/>
          <w:lang w:val="en-US" w:eastAsia="zh-CN" w:bidi="ar"/>
        </w:rPr>
      </w:pPr>
      <w:r>
        <w:rPr>
          <w:rFonts w:hint="eastAsia" w:ascii="方正小标宋简体" w:hAnsi="方正小标宋简体" w:eastAsia="方正小标宋简体"/>
          <w:kern w:val="0"/>
          <w:sz w:val="44"/>
          <w:szCs w:val="44"/>
          <w:lang w:val="en-US" w:eastAsia="zh-CN" w:bidi="ar"/>
        </w:rPr>
        <w:t>评分标准</w:t>
      </w:r>
    </w:p>
    <w:p w14:paraId="77816716">
      <w:pPr>
        <w:keepNext w:val="0"/>
        <w:keepLines w:val="0"/>
        <w:pageBreakBefore w:val="0"/>
        <w:widowControl/>
        <w:suppressLineNumbers w:val="0"/>
        <w:kinsoku/>
        <w:wordWrap/>
        <w:overflowPunct/>
        <w:topLinePunct w:val="0"/>
        <w:autoSpaceDE/>
        <w:autoSpaceDN/>
        <w:bidi w:val="0"/>
        <w:snapToGrid/>
        <w:spacing w:line="600" w:lineRule="exact"/>
        <w:jc w:val="center"/>
        <w:rPr>
          <w:rFonts w:ascii="方正小标宋简体" w:hAnsi="方正小标宋简体" w:eastAsia="方正小标宋简体"/>
          <w:kern w:val="0"/>
          <w:sz w:val="44"/>
          <w:szCs w:val="44"/>
          <w:lang w:val="en-US" w:eastAsia="zh-CN" w:bidi="ar"/>
        </w:rPr>
      </w:pPr>
    </w:p>
    <w:tbl>
      <w:tblPr>
        <w:tblStyle w:val="4"/>
        <w:tblW w:w="9124" w:type="dxa"/>
        <w:tblInd w:w="-15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blLayout w:type="autofit"/>
        <w:tblCellMar>
          <w:top w:w="75" w:type="dxa"/>
          <w:left w:w="150" w:type="dxa"/>
          <w:bottom w:w="75" w:type="dxa"/>
          <w:right w:w="150" w:type="dxa"/>
        </w:tblCellMar>
      </w:tblPr>
      <w:tblGrid>
        <w:gridCol w:w="485"/>
        <w:gridCol w:w="1639"/>
        <w:gridCol w:w="7000"/>
      </w:tblGrid>
      <w:tr w14:paraId="38789D4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blCellMar>
            <w:top w:w="75" w:type="dxa"/>
            <w:left w:w="150" w:type="dxa"/>
            <w:bottom w:w="75" w:type="dxa"/>
            <w:right w:w="150" w:type="dxa"/>
          </w:tblCellMar>
        </w:tblPrEx>
        <w:tc>
          <w:tcPr>
            <w:tcW w:w="485" w:type="dxa"/>
            <w:tcBorders>
              <w:top w:val="single" w:color="auto" w:sz="4" w:space="0"/>
              <w:left w:val="single" w:color="auto" w:sz="4" w:space="0"/>
              <w:bottom w:val="single" w:color="auto" w:sz="4" w:space="0"/>
              <w:right w:val="single" w:color="auto" w:sz="4" w:space="0"/>
            </w:tcBorders>
            <w:shd w:val="clear" w:color="auto" w:fill="FFFFFF"/>
            <w:tcMar>
              <w:top w:w="75" w:type="dxa"/>
              <w:left w:w="150" w:type="dxa"/>
              <w:bottom w:w="75" w:type="dxa"/>
              <w:right w:w="150" w:type="dxa"/>
            </w:tcMar>
            <w:vAlign w:val="center"/>
          </w:tcPr>
          <w:p w14:paraId="7F9E5F59">
            <w:pPr>
              <w:pStyle w:val="1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snapToGrid/>
              <w:spacing w:before="0" w:beforeAutospacing="0" w:after="0" w:afterAutospacing="0" w:line="400" w:lineRule="exact"/>
              <w:ind w:left="0" w:right="0"/>
              <w:jc w:val="both"/>
              <w:rPr>
                <w:rStyle w:val="13"/>
                <w:rFonts w:hint="eastAsia" w:ascii="仿宋" w:hAnsi="仿宋" w:eastAsia="仿宋"/>
                <w:b/>
                <w:bCs w:val="0"/>
                <w:i w:val="0"/>
                <w:iCs w:val="0"/>
                <w:color w:val="333333"/>
                <w:spacing w:val="23"/>
                <w:sz w:val="28"/>
                <w:szCs w:val="28"/>
              </w:rPr>
            </w:pPr>
            <w:r>
              <w:rPr>
                <w:rStyle w:val="13"/>
                <w:rFonts w:hint="eastAsia" w:ascii="仿宋" w:hAnsi="仿宋" w:eastAsia="仿宋"/>
                <w:b/>
                <w:bCs w:val="0"/>
                <w:i w:val="0"/>
                <w:iCs w:val="0"/>
                <w:color w:val="333333"/>
                <w:spacing w:val="23"/>
                <w:sz w:val="28"/>
                <w:szCs w:val="28"/>
              </w:rPr>
              <w:t>1</w:t>
            </w:r>
          </w:p>
        </w:tc>
        <w:tc>
          <w:tcPr>
            <w:tcW w:w="1639" w:type="dxa"/>
            <w:tcBorders>
              <w:top w:val="single" w:color="auto" w:sz="4" w:space="0"/>
              <w:left w:val="single" w:color="auto" w:sz="4" w:space="0"/>
              <w:bottom w:val="single" w:color="auto" w:sz="4" w:space="0"/>
              <w:right w:val="single" w:color="auto" w:sz="4" w:space="0"/>
            </w:tcBorders>
            <w:shd w:val="clear" w:color="auto" w:fill="FFFFFF"/>
            <w:tcMar>
              <w:top w:w="75" w:type="dxa"/>
              <w:left w:w="150" w:type="dxa"/>
              <w:bottom w:w="75" w:type="dxa"/>
              <w:right w:w="150" w:type="dxa"/>
            </w:tcMar>
            <w:vAlign w:val="center"/>
          </w:tcPr>
          <w:p w14:paraId="210D36B3">
            <w:pPr>
              <w:pStyle w:val="1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snapToGrid/>
              <w:spacing w:before="0" w:beforeAutospacing="0" w:after="0" w:afterAutospacing="0" w:line="400" w:lineRule="exact"/>
              <w:ind w:left="0" w:right="0"/>
              <w:jc w:val="both"/>
              <w:rPr>
                <w:rStyle w:val="13"/>
                <w:rFonts w:hint="eastAsia" w:ascii="仿宋" w:hAnsi="仿宋" w:eastAsia="仿宋"/>
                <w:b/>
                <w:bCs w:val="0"/>
                <w:i w:val="0"/>
                <w:iCs w:val="0"/>
                <w:color w:val="333333"/>
                <w:spacing w:val="23"/>
                <w:sz w:val="28"/>
                <w:szCs w:val="28"/>
              </w:rPr>
            </w:pPr>
            <w:r>
              <w:rPr>
                <w:rStyle w:val="13"/>
                <w:rFonts w:hint="eastAsia" w:ascii="仿宋" w:hAnsi="仿宋" w:eastAsia="仿宋"/>
                <w:b/>
                <w:bCs w:val="0"/>
                <w:i w:val="0"/>
                <w:iCs w:val="0"/>
                <w:color w:val="333333"/>
                <w:spacing w:val="23"/>
                <w:sz w:val="28"/>
                <w:szCs w:val="28"/>
              </w:rPr>
              <w:t>项目业绩（</w:t>
            </w:r>
            <w:r>
              <w:rPr>
                <w:rStyle w:val="13"/>
                <w:rFonts w:hint="eastAsia" w:ascii="仿宋" w:hAnsi="仿宋" w:eastAsia="仿宋"/>
                <w:b/>
                <w:bCs w:val="0"/>
                <w:i w:val="0"/>
                <w:iCs w:val="0"/>
                <w:color w:val="333333"/>
                <w:spacing w:val="23"/>
                <w:sz w:val="28"/>
                <w:szCs w:val="28"/>
                <w:lang w:val="en-US" w:eastAsia="zh-CN"/>
              </w:rPr>
              <w:t>20</w:t>
            </w:r>
            <w:r>
              <w:rPr>
                <w:rStyle w:val="13"/>
                <w:rFonts w:hint="eastAsia" w:ascii="仿宋" w:hAnsi="仿宋" w:eastAsia="仿宋"/>
                <w:b/>
                <w:bCs w:val="0"/>
                <w:i w:val="0"/>
                <w:iCs w:val="0"/>
                <w:color w:val="333333"/>
                <w:spacing w:val="23"/>
                <w:sz w:val="28"/>
                <w:szCs w:val="28"/>
              </w:rPr>
              <w:t>分）</w:t>
            </w:r>
          </w:p>
        </w:tc>
        <w:tc>
          <w:tcPr>
            <w:tcW w:w="7000" w:type="dxa"/>
            <w:tcBorders>
              <w:top w:val="single" w:color="auto" w:sz="4" w:space="0"/>
              <w:left w:val="single" w:color="auto" w:sz="4" w:space="0"/>
              <w:bottom w:val="single" w:color="auto" w:sz="4" w:space="0"/>
              <w:right w:val="single" w:color="auto" w:sz="4" w:space="0"/>
            </w:tcBorders>
            <w:shd w:val="clear" w:color="auto" w:fill="FFFFFF"/>
            <w:tcMar>
              <w:top w:w="75" w:type="dxa"/>
              <w:left w:w="150" w:type="dxa"/>
              <w:bottom w:w="75" w:type="dxa"/>
              <w:right w:w="150" w:type="dxa"/>
            </w:tcMar>
            <w:vAlign w:val="top"/>
          </w:tcPr>
          <w:p w14:paraId="7A6563B0">
            <w:pPr>
              <w:pStyle w:val="1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snapToGrid/>
              <w:spacing w:before="0" w:beforeAutospacing="0" w:after="0" w:afterAutospacing="0" w:line="400" w:lineRule="exact"/>
              <w:ind w:left="0" w:right="0"/>
              <w:jc w:val="both"/>
              <w:rPr>
                <w:rFonts w:hint="eastAsia" w:ascii="仿宋" w:hAnsi="仿宋" w:eastAsia="仿宋"/>
                <w:sz w:val="28"/>
                <w:szCs w:val="28"/>
                <w:lang w:val="en-US" w:eastAsia="zh-CN"/>
              </w:rPr>
            </w:pPr>
            <w:r>
              <w:rPr>
                <w:rFonts w:hint="eastAsia" w:ascii="仿宋" w:hAnsi="仿宋" w:eastAsia="仿宋"/>
                <w:sz w:val="28"/>
                <w:szCs w:val="28"/>
                <w:lang w:val="en-US" w:eastAsia="zh-CN"/>
              </w:rPr>
              <w:t>①单项投资额/采购额400万（含）以上项目</w:t>
            </w:r>
            <w:r>
              <w:rPr>
                <w:rFonts w:hint="eastAsia" w:ascii="仿宋" w:hAnsi="仿宋" w:eastAsia="仿宋"/>
                <w:sz w:val="28"/>
                <w:szCs w:val="28"/>
                <w:lang w:eastAsia="zh-CN"/>
              </w:rPr>
              <w:t>（设备采购、服务、工程建设、船舶服务）</w:t>
            </w:r>
            <w:r>
              <w:rPr>
                <w:rFonts w:hint="eastAsia" w:ascii="仿宋" w:hAnsi="仿宋" w:eastAsia="仿宋"/>
                <w:sz w:val="28"/>
                <w:szCs w:val="28"/>
                <w:lang w:val="en-US" w:eastAsia="zh-CN"/>
              </w:rPr>
              <w:t>，每1个得3分；</w:t>
            </w:r>
            <w:r>
              <w:rPr>
                <w:rFonts w:hint="eastAsia" w:ascii="仿宋" w:hAnsi="仿宋" w:eastAsia="仿宋"/>
                <w:sz w:val="28"/>
                <w:szCs w:val="28"/>
                <w:lang w:eastAsia="zh-CN"/>
              </w:rPr>
              <w:t>最高得</w:t>
            </w:r>
            <w:r>
              <w:rPr>
                <w:rFonts w:hint="eastAsia" w:ascii="仿宋" w:hAnsi="仿宋" w:eastAsia="仿宋"/>
                <w:sz w:val="28"/>
                <w:szCs w:val="28"/>
                <w:lang w:val="en-US" w:eastAsia="zh-CN"/>
              </w:rPr>
              <w:t>15</w:t>
            </w:r>
            <w:r>
              <w:rPr>
                <w:rFonts w:hint="eastAsia" w:ascii="仿宋" w:hAnsi="仿宋" w:eastAsia="仿宋"/>
                <w:sz w:val="28"/>
                <w:szCs w:val="28"/>
                <w:lang w:eastAsia="zh-CN"/>
              </w:rPr>
              <w:t>分。</w:t>
            </w:r>
          </w:p>
          <w:p w14:paraId="26FBB173">
            <w:pPr>
              <w:pStyle w:val="1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snapToGrid/>
              <w:spacing w:before="0" w:beforeAutospacing="0" w:after="0" w:afterAutospacing="0" w:line="400" w:lineRule="exact"/>
              <w:ind w:left="0" w:right="0"/>
              <w:jc w:val="both"/>
              <w:rPr>
                <w:rFonts w:hint="eastAsia" w:ascii="仿宋" w:hAnsi="仿宋" w:eastAsia="仿宋"/>
                <w:sz w:val="28"/>
                <w:szCs w:val="28"/>
                <w:lang w:val="en-US" w:eastAsia="zh-CN"/>
              </w:rPr>
            </w:pPr>
            <w:r>
              <w:rPr>
                <w:rFonts w:hint="eastAsia" w:ascii="仿宋" w:hAnsi="仿宋" w:eastAsia="仿宋"/>
                <w:sz w:val="28"/>
                <w:szCs w:val="28"/>
                <w:lang w:val="en-US" w:eastAsia="zh-CN"/>
              </w:rPr>
              <w:t>②单项投资额/采购额100万（含）至400万（不含）项目</w:t>
            </w:r>
            <w:r>
              <w:rPr>
                <w:rFonts w:hint="eastAsia" w:ascii="仿宋" w:hAnsi="仿宋" w:eastAsia="仿宋"/>
                <w:sz w:val="28"/>
                <w:szCs w:val="28"/>
                <w:lang w:eastAsia="zh-CN"/>
              </w:rPr>
              <w:t>（设备采购、服务、工程建设、船舶服务）</w:t>
            </w:r>
            <w:r>
              <w:rPr>
                <w:rFonts w:hint="eastAsia" w:ascii="仿宋" w:hAnsi="仿宋" w:eastAsia="仿宋"/>
                <w:sz w:val="28"/>
                <w:szCs w:val="28"/>
                <w:lang w:val="en-US" w:eastAsia="zh-CN"/>
              </w:rPr>
              <w:t>，每1个得2.5分；</w:t>
            </w:r>
            <w:r>
              <w:rPr>
                <w:rFonts w:hint="eastAsia" w:ascii="仿宋" w:hAnsi="仿宋" w:eastAsia="仿宋"/>
                <w:sz w:val="28"/>
                <w:szCs w:val="28"/>
                <w:lang w:eastAsia="zh-CN"/>
              </w:rPr>
              <w:t>最高得</w:t>
            </w:r>
            <w:r>
              <w:rPr>
                <w:rFonts w:hint="eastAsia" w:ascii="仿宋" w:hAnsi="仿宋" w:eastAsia="仿宋"/>
                <w:sz w:val="28"/>
                <w:szCs w:val="28"/>
                <w:lang w:val="en-US" w:eastAsia="zh-CN"/>
              </w:rPr>
              <w:t>5</w:t>
            </w:r>
            <w:r>
              <w:rPr>
                <w:rFonts w:hint="eastAsia" w:ascii="仿宋" w:hAnsi="仿宋" w:eastAsia="仿宋"/>
                <w:sz w:val="28"/>
                <w:szCs w:val="28"/>
                <w:lang w:eastAsia="zh-CN"/>
              </w:rPr>
              <w:t>分。</w:t>
            </w:r>
          </w:p>
          <w:p w14:paraId="2D8E62F2">
            <w:pPr>
              <w:pStyle w:val="1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snapToGrid/>
              <w:spacing w:before="0" w:beforeAutospacing="0" w:after="0" w:afterAutospacing="0" w:line="400" w:lineRule="exact"/>
              <w:ind w:right="0" w:rightChars="0"/>
              <w:jc w:val="both"/>
              <w:rPr>
                <w:rFonts w:hint="eastAsia" w:ascii="仿宋" w:hAnsi="仿宋" w:eastAsia="仿宋"/>
                <w:sz w:val="28"/>
                <w:szCs w:val="28"/>
                <w:lang w:val="en-US" w:eastAsia="zh-CN"/>
              </w:rPr>
            </w:pPr>
            <w:r>
              <w:rPr>
                <w:rFonts w:hint="eastAsia" w:ascii="仿宋" w:hAnsi="仿宋" w:eastAsia="仿宋"/>
                <w:sz w:val="28"/>
                <w:szCs w:val="28"/>
                <w:lang w:val="en-US" w:eastAsia="zh-CN"/>
              </w:rPr>
              <w:t>③</w:t>
            </w:r>
            <w:r>
              <w:rPr>
                <w:rFonts w:hint="eastAsia" w:ascii="仿宋" w:hAnsi="仿宋" w:eastAsia="仿宋"/>
                <w:sz w:val="28"/>
                <w:szCs w:val="28"/>
                <w:lang w:eastAsia="zh-CN"/>
              </w:rPr>
              <w:t>非同类通用招标项目可计分，但得分按对应分值减半计分，鼓励匹配本项目专业领域业绩。</w:t>
            </w:r>
          </w:p>
          <w:p w14:paraId="2406CB59">
            <w:pPr>
              <w:pStyle w:val="1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snapToGrid/>
              <w:spacing w:before="0" w:beforeAutospacing="0" w:after="0" w:afterAutospacing="0" w:line="400" w:lineRule="exact"/>
              <w:ind w:right="0" w:rightChars="0"/>
              <w:jc w:val="both"/>
              <w:rPr>
                <w:rFonts w:hint="eastAsia" w:ascii="仿宋" w:hAnsi="仿宋" w:eastAsia="仿宋"/>
                <w:sz w:val="28"/>
                <w:szCs w:val="28"/>
                <w:lang w:eastAsia="zh-CN"/>
              </w:rPr>
            </w:pPr>
            <w:r>
              <w:rPr>
                <w:rFonts w:hint="eastAsia" w:ascii="仿宋" w:hAnsi="仿宋" w:eastAsia="仿宋"/>
                <w:sz w:val="28"/>
                <w:szCs w:val="28"/>
                <w:lang w:eastAsia="zh-CN"/>
              </w:rPr>
              <w:t>计分要求：须提供对应项目代理合同/委托书/</w:t>
            </w:r>
            <w:r>
              <w:rPr>
                <w:rFonts w:hint="eastAsia" w:ascii="仿宋" w:hAnsi="仿宋" w:eastAsia="仿宋"/>
                <w:sz w:val="28"/>
                <w:szCs w:val="28"/>
                <w:lang w:val="en-US" w:eastAsia="zh-CN"/>
              </w:rPr>
              <w:t>中标通知书或其他证明材料</w:t>
            </w:r>
            <w:r>
              <w:rPr>
                <w:rFonts w:hint="eastAsia" w:ascii="仿宋" w:hAnsi="仿宋" w:eastAsia="仿宋"/>
                <w:sz w:val="28"/>
                <w:szCs w:val="28"/>
                <w:lang w:eastAsia="zh-CN"/>
              </w:rPr>
              <w:t>，材料无法体现项目金额或未提供材料的，本项不计分；同一项目不重复计分，业绩限定为近 3 年内完成项目。</w:t>
            </w:r>
          </w:p>
        </w:tc>
      </w:tr>
      <w:tr w14:paraId="6950311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blCellMar>
            <w:top w:w="75" w:type="dxa"/>
            <w:left w:w="150" w:type="dxa"/>
            <w:bottom w:w="75" w:type="dxa"/>
            <w:right w:w="150" w:type="dxa"/>
          </w:tblCellMar>
        </w:tblPrEx>
        <w:tc>
          <w:tcPr>
            <w:tcW w:w="485" w:type="dxa"/>
            <w:tcBorders>
              <w:top w:val="single" w:color="auto" w:sz="4" w:space="0"/>
              <w:left w:val="single" w:color="auto" w:sz="4" w:space="0"/>
              <w:bottom w:val="single" w:color="auto" w:sz="4" w:space="0"/>
              <w:right w:val="single" w:color="auto" w:sz="4" w:space="0"/>
            </w:tcBorders>
            <w:shd w:val="clear" w:color="auto" w:fill="FFFFFF"/>
            <w:tcMar>
              <w:top w:w="75" w:type="dxa"/>
              <w:left w:w="150" w:type="dxa"/>
              <w:bottom w:w="75" w:type="dxa"/>
              <w:right w:w="150" w:type="dxa"/>
            </w:tcMar>
            <w:vAlign w:val="center"/>
          </w:tcPr>
          <w:p w14:paraId="2906CF95">
            <w:pPr>
              <w:pStyle w:val="1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snapToGrid/>
              <w:spacing w:before="0" w:beforeAutospacing="0" w:after="0" w:afterAutospacing="0" w:line="400" w:lineRule="exact"/>
              <w:ind w:left="0" w:right="0"/>
              <w:jc w:val="both"/>
              <w:rPr>
                <w:rStyle w:val="13"/>
                <w:rFonts w:hint="eastAsia" w:ascii="仿宋" w:hAnsi="仿宋" w:eastAsia="仿宋"/>
                <w:b/>
                <w:bCs w:val="0"/>
                <w:i w:val="0"/>
                <w:iCs w:val="0"/>
                <w:color w:val="333333"/>
                <w:spacing w:val="23"/>
                <w:sz w:val="28"/>
                <w:szCs w:val="28"/>
              </w:rPr>
            </w:pPr>
            <w:r>
              <w:rPr>
                <w:rStyle w:val="13"/>
                <w:rFonts w:hint="eastAsia" w:ascii="仿宋" w:hAnsi="仿宋" w:eastAsia="仿宋"/>
                <w:b/>
                <w:bCs w:val="0"/>
                <w:i w:val="0"/>
                <w:iCs w:val="0"/>
                <w:color w:val="333333"/>
                <w:spacing w:val="23"/>
                <w:sz w:val="28"/>
                <w:szCs w:val="28"/>
              </w:rPr>
              <w:t>2</w:t>
            </w:r>
          </w:p>
        </w:tc>
        <w:tc>
          <w:tcPr>
            <w:tcW w:w="1639" w:type="dxa"/>
            <w:tcBorders>
              <w:top w:val="single" w:color="auto" w:sz="4" w:space="0"/>
              <w:left w:val="single" w:color="auto" w:sz="4" w:space="0"/>
              <w:bottom w:val="single" w:color="auto" w:sz="4" w:space="0"/>
              <w:right w:val="single" w:color="auto" w:sz="4" w:space="0"/>
            </w:tcBorders>
            <w:shd w:val="clear" w:color="auto" w:fill="FFFFFF"/>
            <w:tcMar>
              <w:top w:w="75" w:type="dxa"/>
              <w:left w:w="150" w:type="dxa"/>
              <w:bottom w:w="75" w:type="dxa"/>
              <w:right w:w="150" w:type="dxa"/>
            </w:tcMar>
            <w:vAlign w:val="center"/>
          </w:tcPr>
          <w:p w14:paraId="564CA1BB">
            <w:pPr>
              <w:pStyle w:val="1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snapToGrid/>
              <w:spacing w:before="0" w:beforeAutospacing="0" w:after="0" w:afterAutospacing="0" w:line="400" w:lineRule="exact"/>
              <w:ind w:left="0" w:right="0"/>
              <w:jc w:val="both"/>
              <w:rPr>
                <w:rStyle w:val="13"/>
                <w:rFonts w:hint="eastAsia" w:ascii="仿宋" w:hAnsi="仿宋" w:eastAsia="仿宋"/>
                <w:b/>
                <w:bCs w:val="0"/>
                <w:i w:val="0"/>
                <w:iCs w:val="0"/>
                <w:color w:val="333333"/>
                <w:spacing w:val="23"/>
                <w:sz w:val="28"/>
                <w:szCs w:val="28"/>
              </w:rPr>
            </w:pPr>
            <w:r>
              <w:rPr>
                <w:rStyle w:val="13"/>
                <w:rFonts w:hint="eastAsia" w:ascii="仿宋" w:hAnsi="仿宋" w:eastAsia="仿宋"/>
                <w:b/>
                <w:bCs w:val="0"/>
                <w:i w:val="0"/>
                <w:iCs w:val="0"/>
                <w:color w:val="333333"/>
                <w:spacing w:val="23"/>
                <w:sz w:val="28"/>
                <w:szCs w:val="28"/>
              </w:rPr>
              <w:t>服务团队配置</w:t>
            </w:r>
          </w:p>
          <w:p w14:paraId="4BCDAF9A">
            <w:pPr>
              <w:pStyle w:val="1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snapToGrid/>
              <w:spacing w:before="0" w:beforeAutospacing="0" w:after="0" w:afterAutospacing="0" w:line="400" w:lineRule="exact"/>
              <w:ind w:left="0" w:right="0"/>
              <w:jc w:val="both"/>
              <w:rPr>
                <w:rStyle w:val="13"/>
                <w:rFonts w:hint="eastAsia" w:ascii="仿宋" w:hAnsi="仿宋" w:eastAsia="仿宋"/>
                <w:b/>
                <w:bCs w:val="0"/>
                <w:i w:val="0"/>
                <w:iCs w:val="0"/>
                <w:color w:val="333333"/>
                <w:spacing w:val="23"/>
                <w:sz w:val="28"/>
                <w:szCs w:val="28"/>
              </w:rPr>
            </w:pPr>
            <w:r>
              <w:rPr>
                <w:rStyle w:val="13"/>
                <w:rFonts w:hint="eastAsia" w:ascii="仿宋" w:hAnsi="仿宋" w:eastAsia="仿宋"/>
                <w:b/>
                <w:bCs w:val="0"/>
                <w:i w:val="0"/>
                <w:iCs w:val="0"/>
                <w:color w:val="333333"/>
                <w:spacing w:val="23"/>
                <w:sz w:val="28"/>
                <w:szCs w:val="28"/>
              </w:rPr>
              <w:t>（</w:t>
            </w:r>
            <w:r>
              <w:rPr>
                <w:rStyle w:val="13"/>
                <w:rFonts w:hint="eastAsia" w:ascii="仿宋" w:hAnsi="仿宋" w:eastAsia="仿宋"/>
                <w:b/>
                <w:bCs w:val="0"/>
                <w:i w:val="0"/>
                <w:iCs w:val="0"/>
                <w:color w:val="333333"/>
                <w:spacing w:val="23"/>
                <w:sz w:val="28"/>
                <w:szCs w:val="28"/>
                <w:lang w:val="en-US" w:eastAsia="zh-CN"/>
              </w:rPr>
              <w:t>25</w:t>
            </w:r>
            <w:r>
              <w:rPr>
                <w:rStyle w:val="13"/>
                <w:rFonts w:hint="eastAsia" w:ascii="仿宋" w:hAnsi="仿宋" w:eastAsia="仿宋"/>
                <w:b/>
                <w:bCs w:val="0"/>
                <w:i w:val="0"/>
                <w:iCs w:val="0"/>
                <w:color w:val="333333"/>
                <w:spacing w:val="23"/>
                <w:sz w:val="28"/>
                <w:szCs w:val="28"/>
              </w:rPr>
              <w:t>分）</w:t>
            </w:r>
          </w:p>
        </w:tc>
        <w:tc>
          <w:tcPr>
            <w:tcW w:w="7000" w:type="dxa"/>
            <w:tcBorders>
              <w:top w:val="single" w:color="auto" w:sz="4" w:space="0"/>
              <w:left w:val="single" w:color="auto" w:sz="4" w:space="0"/>
              <w:bottom w:val="single" w:color="auto" w:sz="4" w:space="0"/>
              <w:right w:val="single" w:color="auto" w:sz="4" w:space="0"/>
            </w:tcBorders>
            <w:shd w:val="clear" w:color="auto" w:fill="FFFFFF"/>
            <w:tcMar>
              <w:top w:w="75" w:type="dxa"/>
              <w:left w:w="150" w:type="dxa"/>
              <w:bottom w:w="75" w:type="dxa"/>
              <w:right w:w="150" w:type="dxa"/>
            </w:tcMar>
            <w:vAlign w:val="top"/>
          </w:tcPr>
          <w:p w14:paraId="73648AA5">
            <w:pPr>
              <w:pStyle w:val="1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snapToGrid/>
              <w:spacing w:before="0" w:beforeAutospacing="0" w:after="0" w:afterAutospacing="0" w:line="400" w:lineRule="exact"/>
              <w:ind w:left="0" w:right="0"/>
              <w:jc w:val="both"/>
              <w:rPr>
                <w:rFonts w:hint="eastAsia" w:ascii="仿宋" w:hAnsi="仿宋" w:eastAsia="仿宋"/>
                <w:sz w:val="28"/>
                <w:szCs w:val="28"/>
                <w:lang w:val="en-US" w:eastAsia="zh-CN"/>
              </w:rPr>
            </w:pPr>
            <w:r>
              <w:rPr>
                <w:rFonts w:hint="eastAsia" w:ascii="仿宋" w:hAnsi="仿宋" w:eastAsia="仿宋"/>
                <w:sz w:val="28"/>
                <w:szCs w:val="28"/>
                <w:lang w:val="en-US" w:eastAsia="zh-CN"/>
              </w:rPr>
              <w:t>①项目负责人具备本科或以上学历得3分，同时具备招标师或中国招标投标协会的中级招采人员能力评价证书得2分；本项最高得5分。</w:t>
            </w:r>
          </w:p>
          <w:p w14:paraId="037BD5A4">
            <w:pPr>
              <w:pStyle w:val="1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snapToGrid/>
              <w:spacing w:before="0" w:beforeAutospacing="0" w:after="0" w:afterAutospacing="0" w:line="400" w:lineRule="exact"/>
              <w:ind w:left="0" w:right="0"/>
              <w:jc w:val="both"/>
              <w:rPr>
                <w:rFonts w:hint="eastAsia" w:ascii="仿宋" w:hAnsi="仿宋" w:eastAsia="仿宋"/>
                <w:sz w:val="28"/>
                <w:szCs w:val="28"/>
                <w:lang w:val="en-US" w:eastAsia="zh-CN"/>
              </w:rPr>
            </w:pPr>
            <w:r>
              <w:rPr>
                <w:rFonts w:hint="eastAsia" w:ascii="仿宋" w:hAnsi="仿宋" w:eastAsia="仿宋"/>
                <w:sz w:val="28"/>
                <w:szCs w:val="28"/>
                <w:lang w:val="en-US" w:eastAsia="zh-CN"/>
              </w:rPr>
              <w:t>②项目负责人具有连续3年以上社保记录，并且担任过设备采购、服务、工程建设、船舶服务等项目负责人（提供2个以上业绩证明，需提供招标公告中标公告截图证明并体现项目负责人名称），无不良执业记录，得10分；从业1至3年，得5分。从业经验不足1年的，得2分。</w:t>
            </w:r>
          </w:p>
          <w:p w14:paraId="411B06D6">
            <w:pPr>
              <w:pStyle w:val="1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snapToGrid/>
              <w:spacing w:before="0" w:beforeAutospacing="0" w:after="0" w:afterAutospacing="0" w:line="400" w:lineRule="exact"/>
              <w:ind w:left="0" w:right="0"/>
              <w:jc w:val="both"/>
              <w:rPr>
                <w:rFonts w:hint="eastAsia" w:ascii="仿宋" w:hAnsi="仿宋" w:eastAsia="仿宋"/>
                <w:sz w:val="28"/>
                <w:szCs w:val="28"/>
                <w:lang w:val="en-US" w:eastAsia="zh-CN"/>
              </w:rPr>
            </w:pPr>
            <w:r>
              <w:rPr>
                <w:rFonts w:hint="eastAsia" w:ascii="仿宋" w:hAnsi="仿宋" w:eastAsia="仿宋"/>
                <w:sz w:val="28"/>
                <w:szCs w:val="28"/>
                <w:lang w:val="en-US" w:eastAsia="zh-CN"/>
              </w:rPr>
              <w:t>③项目团队成员（不含项目负责人）具备政府采购培训证书、政府采购协会中级能力评价证书、招标投标资格证书、造价专业证书、法务相关资质等有效专业证明的（其中一种证书即可），每1人得2分，最高得10分。</w:t>
            </w:r>
          </w:p>
          <w:p w14:paraId="6C3F5298">
            <w:pPr>
              <w:pStyle w:val="1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snapToGrid/>
              <w:spacing w:before="0" w:beforeAutospacing="0" w:after="0" w:afterAutospacing="0" w:line="400" w:lineRule="exact"/>
              <w:ind w:left="0" w:right="0"/>
              <w:jc w:val="both"/>
              <w:rPr>
                <w:rFonts w:hint="default" w:ascii="仿宋" w:hAnsi="仿宋" w:eastAsia="仿宋"/>
                <w:sz w:val="28"/>
                <w:szCs w:val="28"/>
                <w:lang w:val="en-US" w:eastAsia="zh-CN"/>
              </w:rPr>
            </w:pPr>
            <w:r>
              <w:rPr>
                <w:rFonts w:hint="eastAsia" w:ascii="仿宋" w:hAnsi="仿宋" w:eastAsia="仿宋"/>
                <w:sz w:val="28"/>
                <w:szCs w:val="28"/>
                <w:lang w:val="en-US" w:eastAsia="zh-CN"/>
              </w:rPr>
              <w:t>若项目团队成员中，有2人及以上具备2项及以上证书，获10分。</w:t>
            </w:r>
          </w:p>
          <w:p w14:paraId="52B26634">
            <w:pPr>
              <w:pStyle w:val="1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snapToGrid/>
              <w:spacing w:before="0" w:beforeAutospacing="0" w:after="0" w:afterAutospacing="0" w:line="400" w:lineRule="exact"/>
              <w:ind w:left="0" w:right="0"/>
              <w:jc w:val="both"/>
              <w:rPr>
                <w:rFonts w:hint="eastAsia" w:ascii="仿宋" w:hAnsi="仿宋" w:eastAsia="仿宋"/>
                <w:sz w:val="28"/>
                <w:szCs w:val="28"/>
                <w:lang w:val="en-US" w:eastAsia="zh-CN"/>
              </w:rPr>
            </w:pPr>
            <w:r>
              <w:rPr>
                <w:rFonts w:hint="eastAsia" w:ascii="仿宋" w:hAnsi="仿宋" w:eastAsia="仿宋"/>
                <w:sz w:val="28"/>
                <w:szCs w:val="28"/>
                <w:lang w:val="en-US" w:eastAsia="zh-CN"/>
              </w:rPr>
              <w:t>补充要求：所有参评人员须提供近 3 个月社保缴纳凭证，证书须在有效期内，否则不予计分。</w:t>
            </w:r>
          </w:p>
        </w:tc>
      </w:tr>
      <w:tr w14:paraId="0087DB5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blCellMar>
            <w:top w:w="75" w:type="dxa"/>
            <w:left w:w="150" w:type="dxa"/>
            <w:bottom w:w="75" w:type="dxa"/>
            <w:right w:w="150" w:type="dxa"/>
          </w:tblCellMar>
        </w:tblPrEx>
        <w:tc>
          <w:tcPr>
            <w:tcW w:w="485" w:type="dxa"/>
            <w:tcBorders>
              <w:top w:val="single" w:color="auto" w:sz="4" w:space="0"/>
              <w:left w:val="single" w:color="auto" w:sz="4" w:space="0"/>
              <w:bottom w:val="single" w:color="auto" w:sz="4" w:space="0"/>
              <w:right w:val="single" w:color="auto" w:sz="4" w:space="0"/>
            </w:tcBorders>
            <w:shd w:val="clear" w:color="auto" w:fill="FFFFFF"/>
            <w:tcMar>
              <w:top w:w="75" w:type="dxa"/>
              <w:left w:w="150" w:type="dxa"/>
              <w:bottom w:w="75" w:type="dxa"/>
              <w:right w:w="150" w:type="dxa"/>
            </w:tcMar>
            <w:vAlign w:val="center"/>
          </w:tcPr>
          <w:p w14:paraId="6156B9F2">
            <w:pPr>
              <w:keepNext w:val="0"/>
              <w:keepLines w:val="0"/>
              <w:pageBreakBefore w:val="0"/>
              <w:widowControl/>
              <w:suppressLineNumbers w:val="0"/>
              <w:kinsoku/>
              <w:wordWrap w:val="0"/>
              <w:overflowPunct/>
              <w:topLinePunct w:val="0"/>
              <w:autoSpaceDE/>
              <w:autoSpaceDN/>
              <w:bidi w:val="0"/>
              <w:snapToGrid/>
              <w:spacing w:beforeAutospacing="0" w:after="0" w:afterAutospacing="0" w:line="400" w:lineRule="exact"/>
              <w:ind w:left="0" w:right="0"/>
              <w:jc w:val="both"/>
              <w:rPr>
                <w:rFonts w:hint="eastAsia" w:ascii="仿宋" w:hAnsi="仿宋" w:eastAsia="仿宋"/>
                <w:b/>
                <w:bCs w:val="0"/>
                <w:i w:val="0"/>
                <w:iCs w:val="0"/>
                <w:color w:val="333333"/>
                <w:spacing w:val="23"/>
                <w:sz w:val="28"/>
                <w:szCs w:val="28"/>
                <w:lang w:val="en-US" w:eastAsia="zh-CN"/>
              </w:rPr>
            </w:pPr>
            <w:r>
              <w:rPr>
                <w:rFonts w:hint="eastAsia" w:ascii="仿宋" w:hAnsi="仿宋" w:eastAsia="仿宋"/>
                <w:b/>
                <w:bCs w:val="0"/>
                <w:i w:val="0"/>
                <w:iCs w:val="0"/>
                <w:color w:val="333333"/>
                <w:spacing w:val="23"/>
                <w:sz w:val="28"/>
                <w:szCs w:val="28"/>
                <w:lang w:val="en-US" w:eastAsia="zh-CN"/>
              </w:rPr>
              <w:t>3</w:t>
            </w:r>
          </w:p>
        </w:tc>
        <w:tc>
          <w:tcPr>
            <w:tcW w:w="1639" w:type="dxa"/>
            <w:tcBorders>
              <w:top w:val="single" w:color="auto" w:sz="4" w:space="0"/>
              <w:left w:val="single" w:color="auto" w:sz="4" w:space="0"/>
              <w:bottom w:val="single" w:color="auto" w:sz="4" w:space="0"/>
              <w:right w:val="single" w:color="auto" w:sz="4" w:space="0"/>
            </w:tcBorders>
            <w:shd w:val="clear" w:color="auto" w:fill="FFFFFF"/>
            <w:tcMar>
              <w:top w:w="75" w:type="dxa"/>
              <w:left w:w="150" w:type="dxa"/>
              <w:bottom w:w="75" w:type="dxa"/>
              <w:right w:w="150" w:type="dxa"/>
            </w:tcMar>
            <w:vAlign w:val="center"/>
          </w:tcPr>
          <w:p w14:paraId="109E794F">
            <w:pPr>
              <w:pStyle w:val="1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snapToGrid/>
              <w:spacing w:before="0" w:beforeAutospacing="0" w:after="0" w:afterAutospacing="0" w:line="400" w:lineRule="exact"/>
              <w:ind w:left="0" w:right="0"/>
              <w:jc w:val="both"/>
              <w:rPr>
                <w:rFonts w:hint="eastAsia" w:ascii="仿宋" w:hAnsi="仿宋" w:eastAsia="仿宋"/>
                <w:b/>
                <w:bCs w:val="0"/>
                <w:i w:val="0"/>
                <w:iCs w:val="0"/>
                <w:color w:val="333333"/>
                <w:spacing w:val="23"/>
                <w:sz w:val="28"/>
                <w:szCs w:val="28"/>
              </w:rPr>
            </w:pPr>
            <w:r>
              <w:rPr>
                <w:rFonts w:hint="eastAsia" w:ascii="仿宋" w:hAnsi="仿宋" w:eastAsia="仿宋"/>
                <w:b/>
                <w:bCs w:val="0"/>
                <w:i w:val="0"/>
                <w:iCs w:val="0"/>
                <w:color w:val="333333"/>
                <w:spacing w:val="23"/>
                <w:sz w:val="28"/>
                <w:szCs w:val="28"/>
              </w:rPr>
              <w:t>服务方案</w:t>
            </w:r>
            <w:r>
              <w:rPr>
                <w:rStyle w:val="13"/>
                <w:rFonts w:hint="eastAsia" w:ascii="仿宋" w:hAnsi="仿宋" w:eastAsia="仿宋"/>
                <w:b/>
                <w:bCs w:val="0"/>
                <w:i w:val="0"/>
                <w:iCs w:val="0"/>
                <w:color w:val="333333"/>
                <w:spacing w:val="23"/>
                <w:sz w:val="28"/>
                <w:szCs w:val="28"/>
              </w:rPr>
              <w:t>（</w:t>
            </w:r>
            <w:r>
              <w:rPr>
                <w:rStyle w:val="13"/>
                <w:rFonts w:hint="eastAsia" w:ascii="仿宋" w:hAnsi="仿宋" w:eastAsia="仿宋"/>
                <w:b/>
                <w:bCs w:val="0"/>
                <w:i w:val="0"/>
                <w:iCs w:val="0"/>
                <w:color w:val="333333"/>
                <w:spacing w:val="23"/>
                <w:sz w:val="28"/>
                <w:szCs w:val="28"/>
                <w:lang w:val="en-US" w:eastAsia="zh-CN"/>
              </w:rPr>
              <w:t>25</w:t>
            </w:r>
            <w:r>
              <w:rPr>
                <w:rStyle w:val="13"/>
                <w:rFonts w:hint="eastAsia" w:ascii="仿宋" w:hAnsi="仿宋" w:eastAsia="仿宋"/>
                <w:b/>
                <w:bCs w:val="0"/>
                <w:i w:val="0"/>
                <w:iCs w:val="0"/>
                <w:color w:val="333333"/>
                <w:spacing w:val="23"/>
                <w:sz w:val="28"/>
                <w:szCs w:val="28"/>
              </w:rPr>
              <w:t>分）</w:t>
            </w:r>
          </w:p>
        </w:tc>
        <w:tc>
          <w:tcPr>
            <w:tcW w:w="7000" w:type="dxa"/>
            <w:tcBorders>
              <w:top w:val="single" w:color="auto" w:sz="4" w:space="0"/>
              <w:left w:val="single" w:color="auto" w:sz="4" w:space="0"/>
              <w:bottom w:val="single" w:color="auto" w:sz="4" w:space="0"/>
              <w:right w:val="single" w:color="auto" w:sz="4" w:space="0"/>
            </w:tcBorders>
            <w:shd w:val="clear" w:color="auto" w:fill="FFFFFF"/>
            <w:tcMar>
              <w:top w:w="75" w:type="dxa"/>
              <w:left w:w="150" w:type="dxa"/>
              <w:bottom w:w="75" w:type="dxa"/>
              <w:right w:w="150" w:type="dxa"/>
            </w:tcMar>
            <w:vAlign w:val="top"/>
          </w:tcPr>
          <w:p w14:paraId="687490D1">
            <w:pPr>
              <w:pStyle w:val="1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snapToGrid/>
              <w:spacing w:before="0" w:beforeAutospacing="0" w:after="0" w:afterAutospacing="0" w:line="400" w:lineRule="exact"/>
              <w:ind w:left="0" w:right="0"/>
              <w:jc w:val="both"/>
              <w:rPr>
                <w:rFonts w:hint="eastAsia" w:ascii="仿宋" w:hAnsi="仿宋" w:eastAsia="仿宋"/>
                <w:sz w:val="28"/>
                <w:szCs w:val="28"/>
                <w:lang w:val="en-US" w:eastAsia="zh-CN"/>
              </w:rPr>
            </w:pPr>
            <w:r>
              <w:rPr>
                <w:rFonts w:hint="eastAsia" w:ascii="仿宋" w:hAnsi="仿宋" w:eastAsia="仿宋"/>
                <w:sz w:val="28"/>
                <w:szCs w:val="28"/>
                <w:lang w:val="en-US" w:eastAsia="zh-CN"/>
              </w:rPr>
              <w:t>①优秀（20-25分）：全流程服务方案完整，包含需求对接、文件编制、公告发布、开评标组织、异议投诉处理、档案管理、风险防控、保密制度、应急预案，逻辑清晰、贴合项目实际。</w:t>
            </w:r>
          </w:p>
          <w:p w14:paraId="1A79254A">
            <w:pPr>
              <w:pStyle w:val="1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snapToGrid/>
              <w:spacing w:before="0" w:beforeAutospacing="0" w:after="0" w:afterAutospacing="0" w:line="400" w:lineRule="exact"/>
              <w:ind w:left="0" w:right="0"/>
              <w:jc w:val="both"/>
              <w:rPr>
                <w:rFonts w:hint="eastAsia" w:ascii="仿宋" w:hAnsi="仿宋" w:eastAsia="仿宋"/>
                <w:sz w:val="28"/>
                <w:szCs w:val="28"/>
                <w:lang w:val="en-US" w:eastAsia="zh-CN"/>
              </w:rPr>
            </w:pPr>
            <w:r>
              <w:rPr>
                <w:rFonts w:hint="eastAsia" w:ascii="仿宋" w:hAnsi="仿宋" w:eastAsia="仿宋"/>
                <w:sz w:val="28"/>
                <w:szCs w:val="28"/>
                <w:lang w:val="en-US" w:eastAsia="zh-CN"/>
              </w:rPr>
              <w:t xml:space="preserve">②良好（15-20分）：方案基本完整，核心流程齐全，细节略有欠缺。 </w:t>
            </w:r>
          </w:p>
          <w:p w14:paraId="79B6C36D">
            <w:pPr>
              <w:pStyle w:val="1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snapToGrid/>
              <w:spacing w:before="0" w:beforeAutospacing="0" w:after="0" w:afterAutospacing="0" w:line="400" w:lineRule="exact"/>
              <w:ind w:left="0" w:right="0"/>
              <w:jc w:val="both"/>
              <w:rPr>
                <w:rFonts w:hint="eastAsia" w:ascii="仿宋" w:hAnsi="仿宋" w:eastAsia="仿宋"/>
                <w:sz w:val="28"/>
                <w:szCs w:val="28"/>
                <w:lang w:val="en-US" w:eastAsia="zh-CN"/>
              </w:rPr>
            </w:pPr>
            <w:r>
              <w:rPr>
                <w:rFonts w:hint="eastAsia" w:ascii="仿宋" w:hAnsi="仿宋" w:eastAsia="仿宋"/>
                <w:sz w:val="28"/>
                <w:szCs w:val="28"/>
                <w:lang w:val="en-US" w:eastAsia="zh-CN"/>
              </w:rPr>
              <w:t>③一般（10-15分）：方案简单，流程不完整。</w:t>
            </w:r>
          </w:p>
          <w:p w14:paraId="7740F288">
            <w:pPr>
              <w:pStyle w:val="1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snapToGrid/>
              <w:spacing w:before="0" w:beforeAutospacing="0" w:after="0" w:afterAutospacing="0" w:line="400" w:lineRule="exact"/>
              <w:ind w:left="0" w:right="0"/>
              <w:jc w:val="both"/>
              <w:rPr>
                <w:rFonts w:hint="eastAsia" w:ascii="仿宋" w:hAnsi="仿宋" w:eastAsia="仿宋"/>
                <w:sz w:val="28"/>
                <w:szCs w:val="28"/>
                <w:lang w:val="en-US" w:eastAsia="zh-CN"/>
              </w:rPr>
            </w:pPr>
            <w:r>
              <w:rPr>
                <w:rFonts w:hint="eastAsia" w:ascii="仿宋" w:hAnsi="仿宋" w:eastAsia="仿宋"/>
                <w:sz w:val="28"/>
                <w:szCs w:val="28"/>
                <w:lang w:val="en-US" w:eastAsia="zh-CN"/>
              </w:rPr>
              <w:t>④较差（0-10分）：方案空洞、无针对性。</w:t>
            </w:r>
          </w:p>
        </w:tc>
      </w:tr>
      <w:tr w14:paraId="7579B5F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blCellMar>
            <w:top w:w="75" w:type="dxa"/>
            <w:left w:w="150" w:type="dxa"/>
            <w:bottom w:w="75" w:type="dxa"/>
            <w:right w:w="150" w:type="dxa"/>
          </w:tblCellMar>
        </w:tblPrEx>
        <w:trPr>
          <w:trHeight w:val="2750" w:hRule="atLeast"/>
        </w:trPr>
        <w:tc>
          <w:tcPr>
            <w:tcW w:w="485" w:type="dxa"/>
            <w:tcBorders>
              <w:top w:val="single" w:color="auto" w:sz="4" w:space="0"/>
              <w:left w:val="single" w:color="auto" w:sz="4" w:space="0"/>
              <w:bottom w:val="single" w:color="auto" w:sz="4" w:space="0"/>
              <w:right w:val="single" w:color="auto" w:sz="4" w:space="0"/>
            </w:tcBorders>
            <w:shd w:val="clear" w:color="auto" w:fill="FFFFFF"/>
            <w:tcMar>
              <w:top w:w="75" w:type="dxa"/>
              <w:left w:w="150" w:type="dxa"/>
              <w:bottom w:w="75" w:type="dxa"/>
              <w:right w:w="150" w:type="dxa"/>
            </w:tcMar>
            <w:vAlign w:val="center"/>
          </w:tcPr>
          <w:p w14:paraId="126A309A">
            <w:pPr>
              <w:keepNext w:val="0"/>
              <w:keepLines w:val="0"/>
              <w:pageBreakBefore w:val="0"/>
              <w:widowControl/>
              <w:suppressLineNumbers w:val="0"/>
              <w:kinsoku/>
              <w:wordWrap w:val="0"/>
              <w:overflowPunct/>
              <w:topLinePunct w:val="0"/>
              <w:autoSpaceDE/>
              <w:autoSpaceDN/>
              <w:bidi w:val="0"/>
              <w:snapToGrid/>
              <w:spacing w:beforeAutospacing="0" w:after="0" w:afterAutospacing="0" w:line="400" w:lineRule="exact"/>
              <w:ind w:left="0" w:right="0"/>
              <w:jc w:val="both"/>
              <w:rPr>
                <w:rFonts w:hint="eastAsia" w:ascii="仿宋" w:hAnsi="仿宋" w:eastAsia="仿宋"/>
                <w:b/>
                <w:bCs w:val="0"/>
                <w:i w:val="0"/>
                <w:iCs w:val="0"/>
                <w:color w:val="333333"/>
                <w:spacing w:val="23"/>
                <w:sz w:val="28"/>
                <w:szCs w:val="28"/>
                <w:lang w:val="en-US" w:eastAsia="zh-CN"/>
              </w:rPr>
            </w:pPr>
            <w:r>
              <w:rPr>
                <w:rFonts w:hint="eastAsia" w:ascii="仿宋" w:hAnsi="仿宋" w:eastAsia="仿宋"/>
                <w:b/>
                <w:bCs w:val="0"/>
                <w:i w:val="0"/>
                <w:iCs w:val="0"/>
                <w:color w:val="333333"/>
                <w:spacing w:val="23"/>
                <w:sz w:val="28"/>
                <w:szCs w:val="28"/>
                <w:lang w:val="en-US" w:eastAsia="zh-CN"/>
              </w:rPr>
              <w:t>4</w:t>
            </w:r>
          </w:p>
          <w:p w14:paraId="43FB1047">
            <w:pPr>
              <w:keepNext w:val="0"/>
              <w:keepLines w:val="0"/>
              <w:pageBreakBefore w:val="0"/>
              <w:widowControl/>
              <w:suppressLineNumbers w:val="0"/>
              <w:kinsoku/>
              <w:wordWrap w:val="0"/>
              <w:overflowPunct/>
              <w:topLinePunct w:val="0"/>
              <w:autoSpaceDE/>
              <w:autoSpaceDN/>
              <w:bidi w:val="0"/>
              <w:snapToGrid/>
              <w:spacing w:beforeAutospacing="0" w:after="0" w:afterAutospacing="0" w:line="400" w:lineRule="exact"/>
              <w:ind w:left="0" w:right="0"/>
              <w:jc w:val="both"/>
              <w:rPr>
                <w:rFonts w:hint="eastAsia" w:ascii="仿宋" w:hAnsi="仿宋" w:eastAsia="仿宋"/>
                <w:b/>
                <w:bCs w:val="0"/>
                <w:i w:val="0"/>
                <w:iCs w:val="0"/>
                <w:color w:val="333333"/>
                <w:spacing w:val="23"/>
                <w:sz w:val="28"/>
                <w:szCs w:val="28"/>
                <w:lang w:val="en-US" w:eastAsia="zh-CN"/>
              </w:rPr>
            </w:pPr>
          </w:p>
        </w:tc>
        <w:tc>
          <w:tcPr>
            <w:tcW w:w="1639" w:type="dxa"/>
            <w:tcBorders>
              <w:top w:val="single" w:color="auto" w:sz="4" w:space="0"/>
              <w:left w:val="single" w:color="auto" w:sz="4" w:space="0"/>
              <w:bottom w:val="single" w:color="auto" w:sz="4" w:space="0"/>
              <w:right w:val="single" w:color="auto" w:sz="4" w:space="0"/>
            </w:tcBorders>
            <w:shd w:val="clear" w:color="auto" w:fill="FFFFFF"/>
            <w:tcMar>
              <w:top w:w="75" w:type="dxa"/>
              <w:left w:w="150" w:type="dxa"/>
              <w:bottom w:w="75" w:type="dxa"/>
              <w:right w:w="150" w:type="dxa"/>
            </w:tcMar>
            <w:vAlign w:val="center"/>
          </w:tcPr>
          <w:p w14:paraId="2B968A72">
            <w:pPr>
              <w:pStyle w:val="1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snapToGrid/>
              <w:spacing w:before="0" w:beforeAutospacing="0" w:after="0" w:afterAutospacing="0" w:line="400" w:lineRule="exact"/>
              <w:ind w:left="0" w:right="0"/>
              <w:jc w:val="both"/>
              <w:rPr>
                <w:rStyle w:val="13"/>
                <w:rFonts w:hint="eastAsia" w:ascii="仿宋" w:hAnsi="仿宋" w:eastAsia="仿宋"/>
                <w:b/>
                <w:bCs w:val="0"/>
                <w:i w:val="0"/>
                <w:iCs w:val="0"/>
                <w:color w:val="333333"/>
                <w:spacing w:val="23"/>
                <w:sz w:val="28"/>
                <w:szCs w:val="28"/>
              </w:rPr>
            </w:pPr>
            <w:r>
              <w:rPr>
                <w:rStyle w:val="13"/>
                <w:rFonts w:hint="eastAsia" w:ascii="仿宋" w:hAnsi="仿宋" w:eastAsia="仿宋"/>
                <w:b/>
                <w:bCs w:val="0"/>
                <w:i w:val="0"/>
                <w:iCs w:val="0"/>
                <w:color w:val="333333"/>
                <w:spacing w:val="23"/>
                <w:sz w:val="28"/>
                <w:szCs w:val="28"/>
              </w:rPr>
              <w:t>报价因素（</w:t>
            </w:r>
            <w:r>
              <w:rPr>
                <w:rStyle w:val="13"/>
                <w:rFonts w:hint="eastAsia" w:ascii="仿宋" w:hAnsi="仿宋" w:eastAsia="仿宋"/>
                <w:b/>
                <w:bCs w:val="0"/>
                <w:i w:val="0"/>
                <w:iCs w:val="0"/>
                <w:color w:val="333333"/>
                <w:spacing w:val="23"/>
                <w:sz w:val="28"/>
                <w:szCs w:val="28"/>
                <w:lang w:val="en-US" w:eastAsia="zh-CN"/>
              </w:rPr>
              <w:t>30</w:t>
            </w:r>
            <w:r>
              <w:rPr>
                <w:rStyle w:val="13"/>
                <w:rFonts w:hint="eastAsia" w:ascii="仿宋" w:hAnsi="仿宋" w:eastAsia="仿宋"/>
                <w:b/>
                <w:bCs w:val="0"/>
                <w:i w:val="0"/>
                <w:iCs w:val="0"/>
                <w:color w:val="333333"/>
                <w:spacing w:val="23"/>
                <w:sz w:val="28"/>
                <w:szCs w:val="28"/>
              </w:rPr>
              <w:t>分）</w:t>
            </w:r>
          </w:p>
        </w:tc>
        <w:tc>
          <w:tcPr>
            <w:tcW w:w="7000" w:type="dxa"/>
            <w:tcBorders>
              <w:top w:val="single" w:color="auto" w:sz="4" w:space="0"/>
              <w:left w:val="single" w:color="auto" w:sz="4" w:space="0"/>
              <w:bottom w:val="single" w:color="auto" w:sz="4" w:space="0"/>
              <w:right w:val="single" w:color="auto" w:sz="4" w:space="0"/>
            </w:tcBorders>
            <w:shd w:val="clear" w:color="auto" w:fill="FFFFFF"/>
            <w:tcMar>
              <w:top w:w="75" w:type="dxa"/>
              <w:left w:w="150" w:type="dxa"/>
              <w:bottom w:w="75" w:type="dxa"/>
              <w:right w:w="150" w:type="dxa"/>
            </w:tcMar>
            <w:vAlign w:val="top"/>
          </w:tcPr>
          <w:p w14:paraId="3FDF0307">
            <w:pPr>
              <w:pStyle w:val="1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snapToGrid/>
              <w:spacing w:before="0" w:beforeAutospacing="0" w:after="0" w:afterAutospacing="0" w:line="400" w:lineRule="exact"/>
              <w:ind w:left="0" w:right="0"/>
              <w:jc w:val="both"/>
              <w:rPr>
                <w:rFonts w:hint="eastAsia" w:ascii="仿宋" w:hAnsi="仿宋" w:eastAsia="仿宋"/>
                <w:sz w:val="28"/>
                <w:szCs w:val="28"/>
                <w:lang w:val="en-US" w:eastAsia="zh-CN"/>
              </w:rPr>
            </w:pPr>
            <w:r>
              <w:rPr>
                <w:rFonts w:hint="eastAsia" w:ascii="仿宋" w:hAnsi="仿宋" w:eastAsia="仿宋"/>
                <w:sz w:val="28"/>
                <w:szCs w:val="28"/>
                <w:lang w:val="en-US" w:eastAsia="zh-CN"/>
              </w:rPr>
              <w:t>①</w:t>
            </w:r>
            <w:r>
              <w:rPr>
                <w:rFonts w:ascii="仿宋" w:hAnsi="仿宋" w:eastAsia="仿宋"/>
                <w:sz w:val="28"/>
                <w:szCs w:val="28"/>
                <w:lang w:val="en-US" w:eastAsia="zh-CN"/>
              </w:rPr>
              <w:t>评标基准下浮率：所有有效投标文件中合规范围内最高下浮率为评标基准下浮率，得本项满分 30 分</w:t>
            </w:r>
            <w:r>
              <w:rPr>
                <w:rFonts w:hint="eastAsia" w:ascii="仿宋" w:hAnsi="仿宋" w:eastAsia="仿宋"/>
                <w:sz w:val="28"/>
                <w:szCs w:val="28"/>
                <w:lang w:val="en-US" w:eastAsia="zh-CN"/>
              </w:rPr>
              <w:t>。</w:t>
            </w:r>
          </w:p>
          <w:p w14:paraId="6FF26E7B">
            <w:pPr>
              <w:pStyle w:val="1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snapToGrid/>
              <w:spacing w:before="0" w:beforeAutospacing="0" w:after="0" w:afterAutospacing="0" w:line="400" w:lineRule="exact"/>
              <w:ind w:left="0" w:right="0"/>
              <w:jc w:val="both"/>
              <w:rPr>
                <w:rFonts w:hint="eastAsia" w:ascii="仿宋" w:hAnsi="仿宋" w:eastAsia="仿宋"/>
                <w:sz w:val="28"/>
                <w:szCs w:val="28"/>
                <w:lang w:val="en-US" w:eastAsia="zh-CN"/>
              </w:rPr>
            </w:pPr>
            <w:r>
              <w:rPr>
                <w:rFonts w:hint="eastAsia" w:ascii="仿宋" w:hAnsi="仿宋" w:eastAsia="仿宋"/>
                <w:sz w:val="28"/>
                <w:szCs w:val="28"/>
                <w:lang w:val="en-US" w:eastAsia="zh-CN"/>
              </w:rPr>
              <w:t>②</w:t>
            </w:r>
            <w:r>
              <w:rPr>
                <w:rFonts w:ascii="仿宋" w:hAnsi="仿宋" w:eastAsia="仿宋"/>
                <w:sz w:val="28"/>
                <w:szCs w:val="28"/>
                <w:lang w:val="en-US" w:eastAsia="zh-CN"/>
              </w:rPr>
              <w:t>报价得分计算公式：</w:t>
            </w:r>
          </w:p>
          <w:p w14:paraId="232783DA">
            <w:pPr>
              <w:pStyle w:val="1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snapToGrid/>
              <w:spacing w:before="0" w:beforeAutospacing="0" w:after="0" w:afterAutospacing="0" w:line="400" w:lineRule="exact"/>
              <w:ind w:left="0" w:right="0"/>
              <w:jc w:val="both"/>
              <w:rPr>
                <w:rFonts w:ascii="仿宋" w:hAnsi="仿宋" w:eastAsia="仿宋"/>
                <w:color w:val="000000"/>
                <w:sz w:val="28"/>
                <w:szCs w:val="28"/>
                <w:lang w:val="en-US" w:eastAsia="zh-CN"/>
              </w:rPr>
            </w:pPr>
            <w:r>
              <w:rPr>
                <w:rFonts w:ascii="仿宋" w:hAnsi="仿宋" w:eastAsia="仿宋"/>
                <w:color w:val="000000"/>
                <w:sz w:val="28"/>
                <w:szCs w:val="28"/>
                <w:lang w:val="en-US" w:eastAsia="zh-CN"/>
              </w:rPr>
              <w:t xml:space="preserve">投标人报价得分 </w:t>
            </w:r>
            <w:r>
              <w:rPr>
                <w:rFonts w:hint="eastAsia" w:ascii="仿宋" w:hAnsi="仿宋" w:eastAsia="仿宋"/>
                <w:color w:val="000000"/>
                <w:sz w:val="28"/>
                <w:szCs w:val="28"/>
                <w:lang w:val="en-US" w:eastAsia="zh-CN"/>
              </w:rPr>
              <w:t>=</w:t>
            </w:r>
            <w:r>
              <w:rPr>
                <w:rFonts w:ascii="仿宋" w:hAnsi="仿宋" w:eastAsia="仿宋"/>
                <w:color w:val="000000"/>
                <w:sz w:val="28"/>
                <w:szCs w:val="28"/>
                <w:lang w:val="en-US" w:eastAsia="zh-CN"/>
              </w:rPr>
              <w:t xml:space="preserve"> 30－|基准下浮率－投标人下浮率 |×1</w:t>
            </w:r>
          </w:p>
          <w:p w14:paraId="069118B4">
            <w:pPr>
              <w:pStyle w:val="1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snapToGrid/>
              <w:spacing w:before="0" w:beforeAutospacing="0" w:after="0" w:afterAutospacing="0" w:line="400" w:lineRule="exact"/>
              <w:ind w:left="0" w:right="0"/>
              <w:jc w:val="both"/>
              <w:rPr>
                <w:rFonts w:hint="eastAsia" w:ascii="仿宋" w:hAnsi="仿宋" w:eastAsia="仿宋"/>
                <w:sz w:val="28"/>
                <w:szCs w:val="28"/>
                <w:lang w:val="en-US" w:eastAsia="zh-CN"/>
              </w:rPr>
            </w:pPr>
            <w:r>
              <w:rPr>
                <w:rFonts w:hint="eastAsia" w:ascii="仿宋" w:hAnsi="仿宋" w:eastAsia="仿宋"/>
                <w:sz w:val="28"/>
                <w:szCs w:val="28"/>
                <w:lang w:val="en-US" w:eastAsia="zh-CN"/>
              </w:rPr>
              <w:t>③</w:t>
            </w:r>
            <w:r>
              <w:rPr>
                <w:rFonts w:ascii="仿宋" w:hAnsi="仿宋" w:eastAsia="仿宋"/>
                <w:sz w:val="28"/>
                <w:szCs w:val="28"/>
                <w:lang w:val="en-US" w:eastAsia="zh-CN"/>
              </w:rPr>
              <w:t>计分约束：</w:t>
            </w:r>
          </w:p>
          <w:p w14:paraId="395AE998">
            <w:pPr>
              <w:pStyle w:val="1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snapToGrid/>
              <w:spacing w:before="0" w:beforeAutospacing="0" w:after="0" w:afterAutospacing="0" w:line="400" w:lineRule="exact"/>
              <w:ind w:left="0" w:right="0"/>
              <w:jc w:val="both"/>
              <w:rPr>
                <w:rFonts w:ascii="仿宋" w:hAnsi="仿宋" w:eastAsia="仿宋"/>
                <w:sz w:val="28"/>
                <w:szCs w:val="28"/>
                <w:lang w:val="en-US" w:eastAsia="zh-CN"/>
              </w:rPr>
            </w:pPr>
            <w:r>
              <w:rPr>
                <w:rFonts w:ascii="仿宋" w:hAnsi="仿宋" w:eastAsia="仿宋"/>
                <w:sz w:val="28"/>
                <w:szCs w:val="28"/>
                <w:lang w:val="en-US" w:eastAsia="zh-CN"/>
              </w:rPr>
              <w:t>每与基准下浮率相差</w:t>
            </w:r>
            <w:r>
              <w:rPr>
                <w:rFonts w:hint="eastAsia" w:ascii="仿宋" w:hAnsi="仿宋" w:eastAsia="仿宋"/>
                <w:sz w:val="28"/>
                <w:szCs w:val="28"/>
                <w:lang w:val="en-US" w:eastAsia="zh-CN"/>
              </w:rPr>
              <w:t>1</w:t>
            </w:r>
            <w:r>
              <w:rPr>
                <w:rFonts w:ascii="仿宋" w:hAnsi="仿宋" w:eastAsia="仿宋"/>
                <w:sz w:val="28"/>
                <w:szCs w:val="28"/>
                <w:lang w:val="en-US" w:eastAsia="zh-CN"/>
              </w:rPr>
              <w:t>个百分点扣</w:t>
            </w:r>
            <w:r>
              <w:rPr>
                <w:rFonts w:hint="eastAsia" w:ascii="仿宋" w:hAnsi="仿宋" w:eastAsia="仿宋"/>
                <w:sz w:val="28"/>
                <w:szCs w:val="28"/>
                <w:lang w:val="en-US" w:eastAsia="zh-CN"/>
              </w:rPr>
              <w:t>1</w:t>
            </w:r>
            <w:r>
              <w:rPr>
                <w:rFonts w:ascii="仿宋" w:hAnsi="仿宋" w:eastAsia="仿宋"/>
                <w:sz w:val="28"/>
                <w:szCs w:val="28"/>
                <w:lang w:val="en-US" w:eastAsia="zh-CN"/>
              </w:rPr>
              <w:t>分；</w:t>
            </w:r>
          </w:p>
          <w:p w14:paraId="51EF0072">
            <w:pPr>
              <w:pStyle w:val="1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snapToGrid/>
              <w:spacing w:before="0" w:beforeAutospacing="0" w:after="0" w:afterAutospacing="0" w:line="400" w:lineRule="exact"/>
              <w:ind w:left="0" w:right="0"/>
              <w:jc w:val="both"/>
              <w:rPr>
                <w:rFonts w:ascii="仿宋" w:hAnsi="仿宋" w:eastAsia="仿宋"/>
                <w:sz w:val="28"/>
                <w:szCs w:val="28"/>
                <w:lang w:val="en-US" w:eastAsia="zh-CN"/>
              </w:rPr>
            </w:pPr>
            <w:r>
              <w:rPr>
                <w:rFonts w:ascii="仿宋" w:hAnsi="仿宋" w:eastAsia="仿宋"/>
                <w:sz w:val="28"/>
                <w:szCs w:val="28"/>
                <w:lang w:val="en-US" w:eastAsia="zh-CN"/>
              </w:rPr>
              <w:t>得分最低计</w:t>
            </w:r>
            <w:r>
              <w:rPr>
                <w:rFonts w:hint="eastAsia" w:ascii="仿宋" w:hAnsi="仿宋" w:eastAsia="仿宋"/>
                <w:sz w:val="28"/>
                <w:szCs w:val="28"/>
                <w:lang w:val="en-US" w:eastAsia="zh-CN"/>
              </w:rPr>
              <w:t>0</w:t>
            </w:r>
            <w:r>
              <w:rPr>
                <w:rFonts w:ascii="仿宋" w:hAnsi="仿宋" w:eastAsia="仿宋"/>
                <w:sz w:val="28"/>
                <w:szCs w:val="28"/>
                <w:lang w:val="en-US" w:eastAsia="zh-CN"/>
              </w:rPr>
              <w:t>分，最高不超过</w:t>
            </w:r>
            <w:r>
              <w:rPr>
                <w:rFonts w:hint="eastAsia" w:ascii="仿宋" w:hAnsi="仿宋" w:eastAsia="仿宋"/>
                <w:sz w:val="28"/>
                <w:szCs w:val="28"/>
                <w:lang w:val="en-US" w:eastAsia="zh-CN"/>
              </w:rPr>
              <w:t>30</w:t>
            </w:r>
            <w:r>
              <w:rPr>
                <w:rFonts w:ascii="仿宋" w:hAnsi="仿宋" w:eastAsia="仿宋"/>
                <w:sz w:val="28"/>
                <w:szCs w:val="28"/>
                <w:lang w:val="en-US" w:eastAsia="zh-CN"/>
              </w:rPr>
              <w:t>分，不产生超满分、负分；</w:t>
            </w:r>
          </w:p>
          <w:p w14:paraId="3FFA2BCB">
            <w:pPr>
              <w:pStyle w:val="1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snapToGrid/>
              <w:spacing w:before="0" w:beforeAutospacing="0" w:after="0" w:afterAutospacing="0" w:line="400" w:lineRule="exact"/>
              <w:ind w:left="0" w:right="0"/>
              <w:jc w:val="both"/>
              <w:rPr>
                <w:rFonts w:ascii="仿宋" w:hAnsi="仿宋" w:eastAsia="仿宋"/>
                <w:sz w:val="28"/>
                <w:szCs w:val="28"/>
                <w:lang w:val="en-US" w:eastAsia="zh-CN"/>
              </w:rPr>
            </w:pPr>
            <w:r>
              <w:rPr>
                <w:rFonts w:ascii="仿宋" w:hAnsi="仿宋" w:eastAsia="仿宋"/>
                <w:sz w:val="28"/>
                <w:szCs w:val="28"/>
                <w:lang w:val="en-US" w:eastAsia="zh-CN"/>
              </w:rPr>
              <w:t>下浮率超出 0%～20% 区间的投标报价，作无效投标处理</w:t>
            </w:r>
            <w:r>
              <w:rPr>
                <w:rFonts w:hint="eastAsia" w:ascii="仿宋" w:hAnsi="仿宋" w:eastAsia="仿宋"/>
                <w:sz w:val="28"/>
                <w:szCs w:val="28"/>
                <w:lang w:val="en-US" w:eastAsia="zh-CN"/>
              </w:rPr>
              <w:t>。</w:t>
            </w:r>
          </w:p>
        </w:tc>
      </w:tr>
    </w:tbl>
    <w:p w14:paraId="46D999F5"/>
    <w:sectPr>
      <w:footerReference r:id="rId3" w:type="default"/>
      <w:pgSz w:w="11906" w:h="16838"/>
      <w:pgMar w:top="1440" w:right="1800" w:bottom="1440" w:left="1800" w:header="851" w:footer="992" w:gutter="0"/>
      <w:pgNumType w:fmt="decimal"/>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方正小标宋简体">
    <w:panose1 w:val="02010601030101010101"/>
    <w:charset w:val="86"/>
    <w:family w:val="auto"/>
    <w:pitch w:val="default"/>
    <w:sig w:usb0="00000001" w:usb1="080E0000" w:usb2="00000000" w:usb3="00000000" w:csb0="00040000"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C41144A">
    <w:pPr>
      <w:pStyle w:val="10"/>
      <w:tabs>
        <w:tab w:val="clear" w:pos="4153"/>
        <w:tab w:val="clear" w:pos="8306"/>
      </w:tabs>
      <w:rPr>
        <w:sz w:val="18"/>
      </w:rPr>
    </w:pPr>
    <w:r>
      <w:rPr>
        <w:sz w:val="18"/>
      </w:rPr>
      <mc:AlternateContent>
        <mc:Choice Requires="wps">
          <w:drawing>
            <wp:anchor distT="0" distB="0" distL="0" distR="0" simplePos="0" relativeHeight="251659264" behindDoc="0" locked="0" layoutInCell="1" allowOverlap="1">
              <wp:simplePos x="0" y="0"/>
              <wp:positionH relativeFrom="margin">
                <wp:align>center</wp:align>
              </wp:positionH>
              <wp:positionV relativeFrom="paragraph">
                <wp:posOffset>-9525</wp:posOffset>
              </wp:positionV>
              <wp:extent cx="154940" cy="157480"/>
              <wp:effectExtent l="0" t="0" r="0" b="0"/>
              <wp:wrapNone/>
              <wp:docPr id="1" name="_x0000_s2049"/>
              <wp:cNvGraphicFramePr/>
              <a:graphic xmlns:a="http://schemas.openxmlformats.org/drawingml/2006/main">
                <a:graphicData uri="http://schemas.microsoft.com/office/word/2010/wordprocessingShape">
                  <wps:wsp>
                    <wps:cNvSpPr/>
                    <wps:spPr>
                      <a:xfrm>
                        <a:off x="0" y="0"/>
                        <a:ext cx="154940" cy="157480"/>
                      </a:xfrm>
                      <a:prstGeom prst="rect">
                        <a:avLst/>
                      </a:prstGeom>
                    </wps:spPr>
                    <wps:txbx>
                      <w:txbxContent>
                        <w:p w14:paraId="11829C20">
                          <w:pPr>
                            <w:pStyle w:val="10"/>
                            <w:tabs>
                              <w:tab w:val="clear" w:pos="4153"/>
                              <w:tab w:val="clear" w:pos="8306"/>
                            </w:tabs>
                            <w:rPr>
                              <w:rFonts w:hint="eastAsia" w:ascii="仿宋" w:hAnsi="仿宋" w:eastAsia="仿宋"/>
                            </w:rPr>
                          </w:pPr>
                          <w:r>
                            <w:rPr>
                              <w:rFonts w:hint="eastAsia" w:ascii="仿宋" w:hAnsi="仿宋" w:eastAsia="仿宋"/>
                            </w:rPr>
                            <w:fldChar w:fldCharType="begin"/>
                          </w:r>
                          <w:r>
                            <w:rPr>
                              <w:rFonts w:hint="eastAsia" w:ascii="仿宋" w:hAnsi="仿宋" w:eastAsia="仿宋"/>
                            </w:rPr>
                            <w:instrText xml:space="preserve"> PAGE  \* MERGEFORMAT </w:instrText>
                          </w:r>
                          <w:r>
                            <w:rPr>
                              <w:rFonts w:hint="eastAsia" w:ascii="仿宋" w:hAnsi="仿宋" w:eastAsia="仿宋"/>
                            </w:rPr>
                            <w:fldChar w:fldCharType="separate"/>
                          </w:r>
                          <w:r>
                            <w:rPr>
                              <w:rFonts w:hint="eastAsia" w:ascii="仿宋" w:hAnsi="仿宋" w:eastAsia="仿宋"/>
                            </w:rPr>
                            <w:t>1</w:t>
                          </w:r>
                          <w:r>
                            <w:rPr>
                              <w:rFonts w:hint="eastAsia" w:ascii="仿宋" w:hAnsi="仿宋" w:eastAsia="仿宋"/>
                            </w:rPr>
                            <w:fldChar w:fldCharType="end"/>
                          </w:r>
                        </w:p>
                        <w:p w14:paraId="1CC6F1E0"/>
                      </w:txbxContent>
                    </wps:txbx>
                    <wps:bodyPr rot="0" vert="horz" wrap="square" lIns="0" tIns="0" rIns="0" bIns="0" anchor="t" anchorCtr="0"/>
                  </wps:wsp>
                </a:graphicData>
              </a:graphic>
            </wp:anchor>
          </w:drawing>
        </mc:Choice>
        <mc:Fallback>
          <w:pict>
            <v:rect id="_x0000_s2049" o:spid="_x0000_s1026" o:spt="1" style="position:absolute;left:0pt;margin-top:-0.75pt;height:12.4pt;width:12.2pt;mso-position-horizontal:center;mso-position-horizontal-relative:margin;z-index:251659264;mso-width-relative:page;mso-height-relative:page;" filled="f" stroked="f" coordsize="21600,21600" o:gfxdata="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">
              <v:fill on="f" focussize="0,0"/>
              <v:stroke on="f"/>
              <v:imagedata o:title=""/>
              <o:lock v:ext="edit" aspectratio="f"/>
              <v:textbox inset="0mm,0mm,0mm,0mm">
                <w:txbxContent>
                  <w:p w14:paraId="11829C20">
                    <w:pPr>
                      <w:pStyle w:val="10"/>
                      <w:tabs>
                        <w:tab w:val="clear" w:pos="4153"/>
                        <w:tab w:val="clear" w:pos="8306"/>
                      </w:tabs>
                      <w:rPr>
                        <w:rFonts w:hint="eastAsia" w:ascii="仿宋" w:hAnsi="仿宋" w:eastAsia="仿宋"/>
                      </w:rPr>
                    </w:pPr>
                    <w:r>
                      <w:rPr>
                        <w:rFonts w:hint="eastAsia" w:ascii="仿宋" w:hAnsi="仿宋" w:eastAsia="仿宋"/>
                      </w:rPr>
                      <w:fldChar w:fldCharType="begin"/>
                    </w:r>
                    <w:r>
                      <w:rPr>
                        <w:rFonts w:hint="eastAsia" w:ascii="仿宋" w:hAnsi="仿宋" w:eastAsia="仿宋"/>
                      </w:rPr>
                      <w:instrText xml:space="preserve"> PAGE  \* MERGEFORMAT </w:instrText>
                    </w:r>
                    <w:r>
                      <w:rPr>
                        <w:rFonts w:hint="eastAsia" w:ascii="仿宋" w:hAnsi="仿宋" w:eastAsia="仿宋"/>
                      </w:rPr>
                      <w:fldChar w:fldCharType="separate"/>
                    </w:r>
                    <w:r>
                      <w:rPr>
                        <w:rFonts w:hint="eastAsia" w:ascii="仿宋" w:hAnsi="仿宋" w:eastAsia="仿宋"/>
                      </w:rPr>
                      <w:t>1</w:t>
                    </w:r>
                    <w:r>
                      <w:rPr>
                        <w:rFonts w:hint="eastAsia" w:ascii="仿宋" w:hAnsi="仿宋" w:eastAsia="仿宋"/>
                      </w:rPr>
                      <w:fldChar w:fldCharType="end"/>
                    </w:r>
                  </w:p>
                  <w:p w14:paraId="1CC6F1E0"/>
                </w:txbxContent>
              </v:textbox>
            </v:rect>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50"/>
  <w:bordersDoNotSurroundHeader w:val="0"/>
  <w:bordersDoNotSurroundFooter w:val="0"/>
  <w:documentProtection w:enforcement="0"/>
  <w:defaultTabStop w:val="420"/>
  <w:displayHorizontalDrawingGridEvery w:val="1"/>
  <w:displayVerticalDrawingGridEvery w:val="1"/>
  <w:noPunctuationKerning w:val="1"/>
  <w:characterSpacingControl w:val="compressPunctuation"/>
  <w:compat>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01A24BC4"/>
    <w:rsid w:val="01BD43CF"/>
    <w:rsid w:val="0A6A04B4"/>
    <w:rsid w:val="16961FE9"/>
    <w:rsid w:val="1B4474E1"/>
    <w:rsid w:val="20CB2125"/>
    <w:rsid w:val="28C25F72"/>
    <w:rsid w:val="28D767ED"/>
    <w:rsid w:val="2AAB4039"/>
    <w:rsid w:val="2C673566"/>
    <w:rsid w:val="2D10015C"/>
    <w:rsid w:val="2D490D52"/>
    <w:rsid w:val="30330D58"/>
    <w:rsid w:val="359B1A01"/>
    <w:rsid w:val="4D87403A"/>
    <w:rsid w:val="59040459"/>
    <w:rsid w:val="598D123A"/>
    <w:rsid w:val="5ABB508C"/>
    <w:rsid w:val="69C6636D"/>
    <w:rsid w:val="6B453112"/>
    <w:rsid w:val="70285D34"/>
    <w:rsid w:val="70F80C27"/>
    <w:rsid w:val="73CD0149"/>
    <w:rsid w:val="79C63670"/>
    <w:rsid w:val="79E86F17"/>
    <w:rsid w:val="7F770414"/>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link w:val="13"/>
    <w:qFormat/>
    <w:uiPriority w:val="0"/>
    <w:pPr>
      <w:widowControl w:val="0"/>
      <w:jc w:val="both"/>
    </w:pPr>
    <w:rPr>
      <w:rFonts w:ascii="Calibri" w:hAnsi="Calibri" w:eastAsia="宋体" w:cs="Times New Roman"/>
      <w:kern w:val="2"/>
      <w:sz w:val="21"/>
      <w:szCs w:val="24"/>
      <w:lang w:val="en-US" w:eastAsia="zh-CN" w:bidi="ar-SA"/>
    </w:rPr>
  </w:style>
  <w:style w:type="character" w:default="1" w:styleId="5">
    <w:name w:val="Default Paragraph Font"/>
    <w:semiHidden/>
    <w:qFormat/>
    <w:uiPriority w:val="0"/>
  </w:style>
  <w:style w:type="table" w:default="1" w:styleId="4">
    <w:name w:val="Normal Table"/>
    <w:semiHidden/>
    <w:qFormat/>
    <w:uiPriority w:val="0"/>
    <w:tblPr>
      <w:tblCellMar>
        <w:top w:w="0" w:type="dxa"/>
        <w:left w:w="108" w:type="dxa"/>
        <w:bottom w:w="0" w:type="dxa"/>
        <w:right w:w="108" w:type="dxa"/>
      </w:tblCellMar>
    </w:tblPr>
  </w:style>
  <w:style w:type="paragraph" w:styleId="2">
    <w:name w:val="annotation text"/>
    <w:basedOn w:val="1"/>
    <w:qFormat/>
    <w:uiPriority w:val="0"/>
    <w:pPr>
      <w:jc w:val="left"/>
    </w:pPr>
  </w:style>
  <w:style w:type="paragraph" w:styleId="3">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customStyle="1" w:styleId="6">
    <w:name w:val="标题 11"/>
    <w:basedOn w:val="1"/>
    <w:qFormat/>
    <w:uiPriority w:val="0"/>
    <w:pPr>
      <w:spacing w:before="100" w:beforeAutospacing="1" w:after="100" w:afterAutospacing="1"/>
      <w:jc w:val="left"/>
      <w:outlineLvl w:val="0"/>
    </w:pPr>
    <w:rPr>
      <w:rFonts w:hint="eastAsia" w:ascii="宋体" w:hAnsi="宋体" w:eastAsia="宋体"/>
      <w:b/>
      <w:bCs/>
      <w:kern w:val="44"/>
      <w:sz w:val="48"/>
      <w:szCs w:val="48"/>
      <w:lang w:val="en-US" w:eastAsia="zh-CN" w:bidi="ar"/>
    </w:rPr>
  </w:style>
  <w:style w:type="paragraph" w:customStyle="1" w:styleId="7">
    <w:name w:val="标题 21"/>
    <w:basedOn w:val="1"/>
    <w:qFormat/>
    <w:uiPriority w:val="0"/>
    <w:pPr>
      <w:spacing w:before="100" w:beforeAutospacing="1" w:after="100" w:afterAutospacing="1"/>
      <w:jc w:val="left"/>
      <w:outlineLvl w:val="1"/>
    </w:pPr>
    <w:rPr>
      <w:rFonts w:hint="eastAsia" w:ascii="宋体" w:hAnsi="宋体" w:eastAsia="宋体"/>
      <w:b/>
      <w:bCs/>
      <w:kern w:val="0"/>
      <w:sz w:val="36"/>
      <w:szCs w:val="36"/>
      <w:lang w:val="en-US" w:eastAsia="zh-CN" w:bidi="ar"/>
    </w:rPr>
  </w:style>
  <w:style w:type="character" w:customStyle="1" w:styleId="8">
    <w:name w:val="默认段落字体1"/>
    <w:link w:val="1"/>
    <w:semiHidden/>
    <w:qFormat/>
    <w:uiPriority w:val="0"/>
  </w:style>
  <w:style w:type="table" w:customStyle="1" w:styleId="9">
    <w:name w:val="普通表格1"/>
    <w:semiHidden/>
    <w:qFormat/>
    <w:uiPriority w:val="0"/>
  </w:style>
  <w:style w:type="paragraph" w:customStyle="1" w:styleId="10">
    <w:name w:val="页脚1"/>
    <w:basedOn w:val="1"/>
    <w:qFormat/>
    <w:uiPriority w:val="0"/>
    <w:pPr>
      <w:tabs>
        <w:tab w:val="center" w:pos="4153"/>
        <w:tab w:val="right" w:pos="8306"/>
      </w:tabs>
      <w:snapToGrid w:val="0"/>
      <w:jc w:val="left"/>
    </w:pPr>
    <w:rPr>
      <w:sz w:val="18"/>
    </w:rPr>
  </w:style>
  <w:style w:type="paragraph" w:customStyle="1" w:styleId="11">
    <w:name w:val="页眉1"/>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customStyle="1" w:styleId="12">
    <w:name w:val="普通(网站)1"/>
    <w:basedOn w:val="1"/>
    <w:qFormat/>
    <w:uiPriority w:val="0"/>
    <w:pPr>
      <w:spacing w:before="100" w:beforeAutospacing="1" w:after="100" w:afterAutospacing="1"/>
      <w:ind w:left="0" w:right="0"/>
      <w:jc w:val="left"/>
    </w:pPr>
    <w:rPr>
      <w:kern w:val="0"/>
      <w:sz w:val="24"/>
      <w:lang w:val="en-US" w:eastAsia="zh-CN" w:bidi="ar"/>
    </w:rPr>
  </w:style>
  <w:style w:type="character" w:customStyle="1" w:styleId="13">
    <w:name w:val="要点1"/>
    <w:basedOn w:val="8"/>
    <w:link w:val="1"/>
    <w:qFormat/>
    <w:uiPriority w:val="0"/>
    <w:rPr>
      <w:b/>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Pages>2</Pages>
  <Words>1654</Words>
  <Characters>1694</Characters>
  <Lines>0</Lines>
  <Paragraphs>0</Paragraphs>
  <TotalTime>89</TotalTime>
  <ScaleCrop>false</ScaleCrop>
  <LinksUpToDate>false</LinksUpToDate>
  <CharactersWithSpaces>1709</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2026-06-24T03:04:00Z</dcterms:created>
  <dc:creator>薛娈立</dc:creator>
  <cp:lastModifiedBy>星尘</cp:lastModifiedBy>
  <cp:lastPrinted>2026-06-25T03:56:00Z</cp:lastPrinted>
  <dcterms:modified xsi:type="dcterms:W3CDTF">2026-06-25T05:47:50Z</dcterms:modified>
  <cp:revision>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TemplateDocerSaveRecord">
    <vt:lpwstr>eyJoZGlkIjoiMjgyNGZiM2ZiM2E4OWEzN2E2MjJlYTFiMmMzZjg4OGMiLCJ1c2VySWQiOiIxMDczMTAxNjYzIn0=</vt:lpwstr>
  </property>
  <property fmtid="{D5CDD505-2E9C-101B-9397-08002B2CF9AE}" pid="3" name="KSOProductBuildVer">
    <vt:lpwstr>2052-12.1.0.26895</vt:lpwstr>
  </property>
  <property fmtid="{D5CDD505-2E9C-101B-9397-08002B2CF9AE}" pid="4" name="ICV">
    <vt:lpwstr>86D26713935F48B89A48C8D91CD6FF41_13</vt:lpwstr>
  </property>
</Properties>
</file>